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1E83" w14:textId="77777777" w:rsidR="001B04C0" w:rsidRDefault="001B04C0" w:rsidP="00F95648">
      <w:pPr>
        <w:jc w:val="center"/>
        <w:rPr>
          <w:rFonts w:ascii="Calibri Light" w:eastAsia="Calibri Light" w:hAnsi="Calibri Light" w:cs="Calibri Light"/>
          <w:b/>
          <w:sz w:val="56"/>
        </w:rPr>
      </w:pPr>
    </w:p>
    <w:p w14:paraId="16D15F12" w14:textId="1CB27346" w:rsidR="001B04C0" w:rsidRDefault="007A0B07" w:rsidP="001B04C0">
      <w:pPr>
        <w:jc w:val="center"/>
        <w:rPr>
          <w:rFonts w:ascii="Calibri Light" w:eastAsia="Calibri Light" w:hAnsi="Calibri Light" w:cs="Calibri Light"/>
          <w:b/>
          <w:sz w:val="56"/>
        </w:rPr>
      </w:pPr>
      <w:r>
        <w:rPr>
          <w:rFonts w:ascii="Calibri Light" w:eastAsia="Calibri Light" w:hAnsi="Calibri Light" w:cs="Calibri Light"/>
          <w:b/>
          <w:sz w:val="56"/>
        </w:rPr>
        <w:t>ZAPYTANIE OFERTOWE</w:t>
      </w:r>
    </w:p>
    <w:p w14:paraId="40FD63B5" w14:textId="77777777" w:rsidR="00F908EC" w:rsidRDefault="00F908EC" w:rsidP="00F95648">
      <w:pPr>
        <w:jc w:val="center"/>
      </w:pPr>
    </w:p>
    <w:tbl>
      <w:tblPr>
        <w:tblW w:w="93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657"/>
        <w:gridCol w:w="4655"/>
      </w:tblGrid>
      <w:tr w:rsidR="00B93272" w14:paraId="342E9321" w14:textId="77777777" w:rsidTr="001B04C0">
        <w:trPr>
          <w:trHeight w:val="326"/>
        </w:trPr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3324C72" w14:textId="77777777" w:rsidR="00B93272" w:rsidRDefault="007A0B07">
            <w:r>
              <w:rPr>
                <w:rFonts w:eastAsia="Calibri" w:cs="Calibri"/>
                <w:b/>
              </w:rPr>
              <w:t>Nazwa przedsiębiorstwa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BABAD91" w14:textId="1CEDAA73" w:rsidR="00B93272" w:rsidRDefault="00F021C6">
            <w:r w:rsidRPr="00F021C6">
              <w:rPr>
                <w:rFonts w:eastAsia="Calibri" w:cs="Calibri"/>
              </w:rPr>
              <w:t>PARTNERTECH STABITERRA SPÓŁKA Z OGRANICZONĄ ODPOWIEDZIALNOŚCIĄ</w:t>
            </w:r>
          </w:p>
        </w:tc>
      </w:tr>
      <w:tr w:rsidR="00B93272" w14:paraId="7A5C2EDB" w14:textId="77777777" w:rsidTr="001B04C0">
        <w:trPr>
          <w:trHeight w:val="326"/>
        </w:trPr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9CF31C6" w14:textId="77777777" w:rsidR="00B93272" w:rsidRDefault="007A0B07">
            <w:r>
              <w:rPr>
                <w:rFonts w:eastAsia="Calibri" w:cs="Calibri"/>
                <w:b/>
              </w:rPr>
              <w:t>NIP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CB58280" w14:textId="733D1A66" w:rsidR="00B93272" w:rsidRDefault="00F021C6">
            <w:r w:rsidRPr="00F021C6">
              <w:rPr>
                <w:rFonts w:eastAsia="Calibri" w:cs="Calibri"/>
              </w:rPr>
              <w:t>5542947773</w:t>
            </w:r>
          </w:p>
        </w:tc>
      </w:tr>
      <w:tr w:rsidR="00B93272" w14:paraId="63E99091" w14:textId="77777777" w:rsidTr="001B04C0">
        <w:trPr>
          <w:trHeight w:val="341"/>
        </w:trPr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D7E76E7" w14:textId="77777777" w:rsidR="00B93272" w:rsidRDefault="007A0B07">
            <w:r>
              <w:rPr>
                <w:rFonts w:eastAsia="Calibri" w:cs="Calibri"/>
                <w:b/>
              </w:rPr>
              <w:t>Adres siedziby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607CA53" w14:textId="12875CCB" w:rsidR="00B93272" w:rsidRDefault="00F021C6" w:rsidP="00F021C6">
            <w:r>
              <w:t>85-326 BYDGOSZCZ, ul. SEMINARYJNA 14</w:t>
            </w:r>
          </w:p>
        </w:tc>
      </w:tr>
      <w:tr w:rsidR="00B93272" w14:paraId="4B5B5D59" w14:textId="77777777" w:rsidTr="001B04C0">
        <w:trPr>
          <w:trHeight w:val="326"/>
        </w:trPr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25BF048" w14:textId="77777777" w:rsidR="00B93272" w:rsidRDefault="007A0B07">
            <w:r>
              <w:rPr>
                <w:rFonts w:eastAsia="Calibri" w:cs="Calibri"/>
                <w:b/>
              </w:rPr>
              <w:t>Nr wniosku o powierzenie grantu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C1DB952" w14:textId="30A0F96F" w:rsidR="00B93272" w:rsidRPr="00F021C6" w:rsidRDefault="00F021C6" w:rsidP="00F021C6">
            <w:r w:rsidRPr="00F021C6">
              <w:t>5/FWI-C19/2021/717</w:t>
            </w:r>
          </w:p>
        </w:tc>
      </w:tr>
    </w:tbl>
    <w:p w14:paraId="58B93D1E" w14:textId="77777777" w:rsidR="00FA6F1B" w:rsidRDefault="00FA6F1B">
      <w:pPr>
        <w:spacing w:after="160"/>
        <w:rPr>
          <w:rFonts w:eastAsia="Calibri" w:cs="Calibri"/>
        </w:rPr>
      </w:pPr>
    </w:p>
    <w:tbl>
      <w:tblPr>
        <w:tblStyle w:val="Tabela-Siatka"/>
        <w:tblW w:w="9299" w:type="dxa"/>
        <w:tblLook w:val="04A0" w:firstRow="1" w:lastRow="0" w:firstColumn="1" w:lastColumn="0" w:noHBand="0" w:noVBand="1"/>
      </w:tblPr>
      <w:tblGrid>
        <w:gridCol w:w="9299"/>
      </w:tblGrid>
      <w:tr w:rsidR="00FA6F1B" w14:paraId="080BBA7C" w14:textId="77777777" w:rsidTr="001B04C0">
        <w:trPr>
          <w:trHeight w:val="497"/>
        </w:trPr>
        <w:tc>
          <w:tcPr>
            <w:tcW w:w="9299" w:type="dxa"/>
          </w:tcPr>
          <w:p w14:paraId="6728171E" w14:textId="6680579E" w:rsidR="00FA6F1B" w:rsidRDefault="00FA6F1B">
            <w:pPr>
              <w:shd w:val="clear" w:color="auto" w:fill="auto"/>
              <w:spacing w:after="160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1.Opis przedmiotu zamówienia</w:t>
            </w:r>
          </w:p>
        </w:tc>
      </w:tr>
      <w:tr w:rsidR="00FA6F1B" w14:paraId="5A7B6F6D" w14:textId="77777777" w:rsidTr="001B04C0">
        <w:trPr>
          <w:trHeight w:val="884"/>
        </w:trPr>
        <w:tc>
          <w:tcPr>
            <w:tcW w:w="9299" w:type="dxa"/>
          </w:tcPr>
          <w:p w14:paraId="44FDDFB1" w14:textId="63158866" w:rsidR="00F86EE9" w:rsidRPr="00F021C6" w:rsidRDefault="00F021C6" w:rsidP="00F021C6">
            <w:pPr>
              <w:spacing w:before="240"/>
              <w:rPr>
                <w:rFonts w:eastAsia="Calibri" w:cs="Calibri"/>
                <w:bCs/>
              </w:rPr>
            </w:pPr>
            <w:r w:rsidRPr="00F021C6">
              <w:rPr>
                <w:rFonts w:eastAsia="Calibri" w:cs="Calibri"/>
                <w:bCs/>
              </w:rPr>
              <w:t>SAMOCHÓD CIĘŻAROWY UŻYWANY -</w:t>
            </w:r>
            <w:r>
              <w:rPr>
                <w:rFonts w:eastAsia="Calibri" w:cs="Calibri"/>
                <w:bCs/>
              </w:rPr>
              <w:t xml:space="preserve"> </w:t>
            </w:r>
            <w:r w:rsidRPr="00F021C6">
              <w:rPr>
                <w:rFonts w:eastAsia="Calibri" w:cs="Calibri"/>
                <w:bCs/>
              </w:rPr>
              <w:t>WYWROTK</w:t>
            </w:r>
            <w:r>
              <w:rPr>
                <w:rFonts w:eastAsia="Calibri" w:cs="Calibri"/>
                <w:bCs/>
              </w:rPr>
              <w:t>A</w:t>
            </w:r>
            <w:r w:rsidRPr="00F021C6">
              <w:rPr>
                <w:rFonts w:eastAsia="Calibri" w:cs="Calibri"/>
                <w:bCs/>
              </w:rPr>
              <w:t xml:space="preserve"> </w:t>
            </w:r>
            <w:r>
              <w:rPr>
                <w:rFonts w:eastAsia="Calibri" w:cs="Calibri"/>
                <w:bCs/>
              </w:rPr>
              <w:t>(</w:t>
            </w:r>
            <w:r w:rsidRPr="00F021C6">
              <w:rPr>
                <w:rFonts w:eastAsia="Calibri" w:cs="Calibri"/>
                <w:bCs/>
              </w:rPr>
              <w:t>SZT. 1</w:t>
            </w:r>
            <w:r>
              <w:rPr>
                <w:rFonts w:eastAsia="Calibri" w:cs="Calibri"/>
                <w:bCs/>
              </w:rPr>
              <w:t>)</w:t>
            </w:r>
          </w:p>
        </w:tc>
      </w:tr>
      <w:tr w:rsidR="00FA6F1B" w14:paraId="49DECE35" w14:textId="77777777" w:rsidTr="001B04C0">
        <w:trPr>
          <w:trHeight w:val="801"/>
        </w:trPr>
        <w:tc>
          <w:tcPr>
            <w:tcW w:w="9299" w:type="dxa"/>
          </w:tcPr>
          <w:p w14:paraId="4C6E988A" w14:textId="18A45C42" w:rsidR="00FA6F1B" w:rsidRDefault="00FA6F1B" w:rsidP="00FA6F1B">
            <w:pPr>
              <w:shd w:val="clear" w:color="auto" w:fill="auto"/>
              <w:spacing w:after="160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2. Warunki udziału w postępowaniu oraz opis sposobu dokonywania oceny ich spełniania, przy czym stawianie warunków udziału nie jest obowiązkowe</w:t>
            </w:r>
          </w:p>
        </w:tc>
      </w:tr>
      <w:tr w:rsidR="00FA6F1B" w14:paraId="397DB39B" w14:textId="77777777" w:rsidTr="001B04C0">
        <w:trPr>
          <w:trHeight w:val="4505"/>
        </w:trPr>
        <w:tc>
          <w:tcPr>
            <w:tcW w:w="9299" w:type="dxa"/>
          </w:tcPr>
          <w:p w14:paraId="4EA5D81E" w14:textId="77777777" w:rsidR="00F021C6" w:rsidRDefault="00F021C6" w:rsidP="00FA6F1B">
            <w:pPr>
              <w:shd w:val="clear" w:color="auto" w:fill="auto"/>
              <w:spacing w:after="160"/>
              <w:rPr>
                <w:rFonts w:eastAsia="Calibri" w:cs="Calibri"/>
              </w:rPr>
            </w:pPr>
          </w:p>
          <w:p w14:paraId="26C6C25B" w14:textId="4C1EA4D2" w:rsidR="00FA6F1B" w:rsidRPr="00FA6F1B" w:rsidRDefault="00FA6F1B" w:rsidP="00FA6F1B">
            <w:pPr>
              <w:shd w:val="clear" w:color="auto" w:fill="auto"/>
              <w:spacing w:after="160"/>
              <w:rPr>
                <w:rFonts w:eastAsia="Calibri" w:cs="Calibri"/>
              </w:rPr>
            </w:pPr>
            <w:r w:rsidRPr="00FA6F1B">
              <w:rPr>
                <w:rFonts w:eastAsia="Calibri" w:cs="Calibri"/>
              </w:rPr>
              <w:t>O realizację przedmiotu zamówienia mogą ubiegać się Wykonawcy, którzy:</w:t>
            </w:r>
          </w:p>
          <w:p w14:paraId="321AEF42" w14:textId="0308E629" w:rsidR="00FA6F1B" w:rsidRPr="00FA6F1B" w:rsidRDefault="00FA6F1B" w:rsidP="00FA6F1B">
            <w:pPr>
              <w:pStyle w:val="Akapitzlist"/>
              <w:numPr>
                <w:ilvl w:val="0"/>
                <w:numId w:val="21"/>
              </w:numPr>
              <w:shd w:val="clear" w:color="auto" w:fill="auto"/>
              <w:spacing w:after="160"/>
              <w:rPr>
                <w:rFonts w:eastAsia="Calibri" w:cs="Calibri"/>
              </w:rPr>
            </w:pPr>
            <w:r w:rsidRPr="00FA6F1B">
              <w:rPr>
                <w:rFonts w:eastAsia="Calibri" w:cs="Calibri"/>
              </w:rPr>
              <w:t>Posiadają uprawnienia do wykonywania działalności lub czynności, jeżeli przepisy prawa nakładają obowiązek posiadania takich uprawnień.</w:t>
            </w:r>
          </w:p>
          <w:p w14:paraId="4E59746B" w14:textId="4B8AD8BD" w:rsidR="00FA6F1B" w:rsidRPr="00FA6F1B" w:rsidRDefault="00FA6F1B" w:rsidP="00FA6F1B">
            <w:pPr>
              <w:pStyle w:val="Akapitzlist"/>
              <w:numPr>
                <w:ilvl w:val="0"/>
                <w:numId w:val="21"/>
              </w:numPr>
              <w:shd w:val="clear" w:color="auto" w:fill="auto"/>
              <w:spacing w:after="160"/>
              <w:rPr>
                <w:rFonts w:eastAsia="Calibri" w:cs="Calibri"/>
              </w:rPr>
            </w:pPr>
            <w:r w:rsidRPr="00FA6F1B">
              <w:rPr>
                <w:rFonts w:eastAsia="Calibri" w:cs="Calibri"/>
              </w:rPr>
              <w:t>Dysponują odpowiednim potencjałem technicznym oraz osobami zdolnymi do wykonania zamówienia.</w:t>
            </w:r>
          </w:p>
          <w:p w14:paraId="58D4049C" w14:textId="55B27C04" w:rsidR="00FA6F1B" w:rsidRPr="00FA6F1B" w:rsidRDefault="00FA6F1B" w:rsidP="00FA6F1B">
            <w:pPr>
              <w:pStyle w:val="Akapitzlist"/>
              <w:numPr>
                <w:ilvl w:val="0"/>
                <w:numId w:val="21"/>
              </w:numPr>
              <w:shd w:val="clear" w:color="auto" w:fill="auto"/>
              <w:spacing w:after="160"/>
              <w:rPr>
                <w:rFonts w:eastAsia="Calibri" w:cs="Calibri"/>
              </w:rPr>
            </w:pPr>
            <w:r w:rsidRPr="00FA6F1B">
              <w:rPr>
                <w:rFonts w:eastAsia="Calibri" w:cs="Calibri"/>
              </w:rPr>
              <w:t>Znajdują się w sytuacji ekonomicznej i finansowej zapewniającej wykonanie zamówienia.</w:t>
            </w:r>
          </w:p>
          <w:p w14:paraId="1D589AD6" w14:textId="7F60906E" w:rsidR="00FA6F1B" w:rsidRPr="00DC1212" w:rsidRDefault="00FA6F1B" w:rsidP="00FA6F1B">
            <w:pPr>
              <w:pStyle w:val="Akapitzlist"/>
              <w:numPr>
                <w:ilvl w:val="0"/>
                <w:numId w:val="21"/>
              </w:numPr>
              <w:shd w:val="clear" w:color="auto" w:fill="auto"/>
              <w:spacing w:after="160"/>
              <w:rPr>
                <w:rFonts w:eastAsia="Calibri" w:cs="Calibri"/>
              </w:rPr>
            </w:pPr>
            <w:r w:rsidRPr="00FA6F1B">
              <w:rPr>
                <w:rFonts w:eastAsia="Calibri" w:cs="Calibri"/>
              </w:rPr>
              <w:t>Wyrażają zgodę na przetwarzanie danych osobowych w zakresie niezbędnym.</w:t>
            </w:r>
          </w:p>
          <w:p w14:paraId="089E464C" w14:textId="77777777" w:rsidR="001B04C0" w:rsidRDefault="001B04C0" w:rsidP="00FA6F1B">
            <w:pPr>
              <w:shd w:val="clear" w:color="auto" w:fill="auto"/>
              <w:spacing w:after="160"/>
              <w:rPr>
                <w:rFonts w:eastAsia="Calibri" w:cs="Calibri"/>
              </w:rPr>
            </w:pPr>
          </w:p>
          <w:p w14:paraId="0399AC90" w14:textId="1F3D2AC3" w:rsidR="00FA6F1B" w:rsidRDefault="00FA6F1B" w:rsidP="00FA6F1B">
            <w:pPr>
              <w:shd w:val="clear" w:color="auto" w:fill="auto"/>
              <w:spacing w:after="160"/>
              <w:rPr>
                <w:rFonts w:eastAsia="Calibri" w:cs="Calibri"/>
              </w:rPr>
            </w:pPr>
            <w:r w:rsidRPr="00FA6F1B">
              <w:rPr>
                <w:rFonts w:eastAsia="Calibri" w:cs="Calibri"/>
              </w:rPr>
              <w:t>Ocena spełnienia warunków udziału w niniejszym postępowaniu dokonana zostanie w oparciu o informacje zawarte w oświadczeniu stanowiącym załącznik nr 2 do niniejszego zapytania ofertowego.</w:t>
            </w:r>
          </w:p>
        </w:tc>
      </w:tr>
      <w:tr w:rsidR="00FA6F1B" w14:paraId="4D6C1017" w14:textId="77777777" w:rsidTr="001B04C0">
        <w:trPr>
          <w:trHeight w:val="497"/>
        </w:trPr>
        <w:tc>
          <w:tcPr>
            <w:tcW w:w="9299" w:type="dxa"/>
            <w:vAlign w:val="center"/>
          </w:tcPr>
          <w:p w14:paraId="266009FE" w14:textId="371302E7" w:rsidR="00FA6F1B" w:rsidRDefault="00FA6F1B" w:rsidP="00F86EE9">
            <w:pPr>
              <w:shd w:val="clear" w:color="auto" w:fill="auto"/>
              <w:spacing w:after="160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3. Kryteria oceny oferty</w:t>
            </w:r>
          </w:p>
        </w:tc>
      </w:tr>
      <w:tr w:rsidR="00FA6F1B" w14:paraId="6051B4E8" w14:textId="77777777" w:rsidTr="001B04C0">
        <w:trPr>
          <w:trHeight w:val="304"/>
        </w:trPr>
        <w:tc>
          <w:tcPr>
            <w:tcW w:w="9299" w:type="dxa"/>
          </w:tcPr>
          <w:p w14:paraId="45B232BF" w14:textId="405A379D" w:rsidR="00FA6F1B" w:rsidRDefault="00FA6F1B" w:rsidP="00FA6F1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Kryteria oceny oferty: CENA NETTO</w:t>
            </w:r>
          </w:p>
        </w:tc>
      </w:tr>
      <w:tr w:rsidR="00FA6F1B" w14:paraId="17E93E78" w14:textId="77777777" w:rsidTr="001B04C0">
        <w:trPr>
          <w:trHeight w:val="898"/>
        </w:trPr>
        <w:tc>
          <w:tcPr>
            <w:tcW w:w="9299" w:type="dxa"/>
            <w:vAlign w:val="center"/>
          </w:tcPr>
          <w:p w14:paraId="41DEB597" w14:textId="04AD1FC9" w:rsidR="00FA6F1B" w:rsidRDefault="00FA6F1B" w:rsidP="00F86EE9">
            <w:pPr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4. Informacja o wagach punktowych lub procentowych przypisanych do poszczególnych kryteriów oceny oferty</w:t>
            </w:r>
          </w:p>
        </w:tc>
      </w:tr>
      <w:tr w:rsidR="00FA6F1B" w14:paraId="0A1C0D95" w14:textId="77777777" w:rsidTr="001B04C0">
        <w:trPr>
          <w:trHeight w:val="612"/>
        </w:trPr>
        <w:tc>
          <w:tcPr>
            <w:tcW w:w="9299" w:type="dxa"/>
            <w:vAlign w:val="center"/>
          </w:tcPr>
          <w:p w14:paraId="41022396" w14:textId="2CEBFE32" w:rsidR="00FA6F1B" w:rsidRPr="00FA6F1B" w:rsidRDefault="00FA6F1B" w:rsidP="00F86EE9">
            <w:pPr>
              <w:rPr>
                <w:rFonts w:eastAsia="Calibri" w:cs="Calibri"/>
              </w:rPr>
            </w:pPr>
            <w:r w:rsidRPr="00FA6F1B">
              <w:rPr>
                <w:rFonts w:eastAsia="Calibri" w:cs="Calibri"/>
              </w:rPr>
              <w:t>Cena netto - 100% – 100 punktów</w:t>
            </w:r>
          </w:p>
        </w:tc>
      </w:tr>
    </w:tbl>
    <w:p w14:paraId="1B2D1BFB" w14:textId="63490A7E" w:rsidR="00FA6F1B" w:rsidRDefault="00FA6F1B">
      <w:pPr>
        <w:spacing w:after="160"/>
        <w:rPr>
          <w:rFonts w:eastAsia="Calibri" w:cs="Calibri"/>
        </w:rPr>
      </w:pPr>
    </w:p>
    <w:p w14:paraId="04247405" w14:textId="05839B0B" w:rsidR="001B04C0" w:rsidRDefault="001B04C0">
      <w:pPr>
        <w:spacing w:after="160"/>
        <w:rPr>
          <w:rFonts w:eastAsia="Calibri" w:cs="Calibri"/>
        </w:rPr>
      </w:pPr>
    </w:p>
    <w:p w14:paraId="1BAA7235" w14:textId="77777777" w:rsidR="001B04C0" w:rsidRDefault="001B04C0">
      <w:pPr>
        <w:spacing w:after="160"/>
        <w:rPr>
          <w:rFonts w:eastAsia="Calibri" w:cs="Calibri"/>
        </w:rPr>
      </w:pPr>
    </w:p>
    <w:tbl>
      <w:tblPr>
        <w:tblStyle w:val="Tabela-Siatka"/>
        <w:tblW w:w="9467" w:type="dxa"/>
        <w:tblLook w:val="04A0" w:firstRow="1" w:lastRow="0" w:firstColumn="1" w:lastColumn="0" w:noHBand="0" w:noVBand="1"/>
      </w:tblPr>
      <w:tblGrid>
        <w:gridCol w:w="9467"/>
      </w:tblGrid>
      <w:tr w:rsidR="00FA6F1B" w14:paraId="7C2E20BD" w14:textId="77777777" w:rsidTr="00F021C6">
        <w:trPr>
          <w:trHeight w:val="537"/>
        </w:trPr>
        <w:tc>
          <w:tcPr>
            <w:tcW w:w="9467" w:type="dxa"/>
            <w:vAlign w:val="center"/>
          </w:tcPr>
          <w:p w14:paraId="3DC2FB43" w14:textId="508FB050" w:rsidR="00FA6F1B" w:rsidRDefault="00FA6F1B" w:rsidP="00F021C6">
            <w:pPr>
              <w:shd w:val="clear" w:color="auto" w:fill="auto"/>
              <w:spacing w:after="160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5. Sposób przyznawania punktacji za spełnienie danego kryterium oceny oferty</w:t>
            </w:r>
          </w:p>
        </w:tc>
      </w:tr>
      <w:tr w:rsidR="00FA6F1B" w14:paraId="0DF12013" w14:textId="77777777" w:rsidTr="001B04C0">
        <w:trPr>
          <w:trHeight w:val="3477"/>
        </w:trPr>
        <w:tc>
          <w:tcPr>
            <w:tcW w:w="9467" w:type="dxa"/>
          </w:tcPr>
          <w:p w14:paraId="548F3406" w14:textId="741AB0D4" w:rsidR="007732CE" w:rsidRPr="007732CE" w:rsidRDefault="007732CE" w:rsidP="007732CE">
            <w:pPr>
              <w:shd w:val="clear" w:color="auto" w:fill="auto"/>
              <w:spacing w:after="160"/>
              <w:rPr>
                <w:rFonts w:eastAsia="Calibri" w:cs="Calibri"/>
              </w:rPr>
            </w:pPr>
            <w:r w:rsidRPr="007732CE">
              <w:rPr>
                <w:rFonts w:eastAsia="Calibri" w:cs="Calibri"/>
              </w:rPr>
              <w:t>Cena netto (C): 100% - wartość punktowa kryterium „cena netto” (max 100 pkt.) wyliczona według wzoru:</w:t>
            </w:r>
          </w:p>
          <w:p w14:paraId="14CBA8BE" w14:textId="77777777" w:rsidR="007732CE" w:rsidRPr="007732CE" w:rsidRDefault="007732CE" w:rsidP="007732CE">
            <w:pPr>
              <w:shd w:val="clear" w:color="auto" w:fill="auto"/>
              <w:spacing w:after="160"/>
              <w:rPr>
                <w:rFonts w:eastAsia="Calibri" w:cs="Calibri"/>
              </w:rPr>
            </w:pPr>
            <w:r w:rsidRPr="007732CE">
              <w:rPr>
                <w:rFonts w:eastAsia="Calibri" w:cs="Calibri"/>
              </w:rPr>
              <w:t xml:space="preserve">        najniższa cena netto wśród otrzymanych ofert</w:t>
            </w:r>
          </w:p>
          <w:p w14:paraId="64153D57" w14:textId="77777777" w:rsidR="007732CE" w:rsidRPr="007732CE" w:rsidRDefault="007732CE" w:rsidP="007732CE">
            <w:pPr>
              <w:shd w:val="clear" w:color="auto" w:fill="auto"/>
              <w:spacing w:after="160"/>
              <w:rPr>
                <w:rFonts w:eastAsia="Calibri" w:cs="Calibri"/>
              </w:rPr>
            </w:pPr>
            <w:r w:rsidRPr="007732CE">
              <w:rPr>
                <w:rFonts w:eastAsia="Calibri" w:cs="Calibri"/>
              </w:rPr>
              <w:t>C = ---------------------------------------------------------------  x 100 pkt.</w:t>
            </w:r>
          </w:p>
          <w:p w14:paraId="26483A07" w14:textId="33EA34F5" w:rsidR="007732CE" w:rsidRPr="007732CE" w:rsidRDefault="007732CE" w:rsidP="007732CE">
            <w:pPr>
              <w:shd w:val="clear" w:color="auto" w:fill="auto"/>
              <w:spacing w:after="160"/>
              <w:rPr>
                <w:rFonts w:eastAsia="Calibri" w:cs="Calibri"/>
              </w:rPr>
            </w:pPr>
            <w:r w:rsidRPr="007732CE">
              <w:rPr>
                <w:rFonts w:eastAsia="Calibri" w:cs="Calibri"/>
              </w:rPr>
              <w:t xml:space="preserve">        cena netto wskazana w badanej ofercie</w:t>
            </w:r>
          </w:p>
          <w:p w14:paraId="25AE6677" w14:textId="47D939EF" w:rsidR="007732CE" w:rsidRPr="007732CE" w:rsidRDefault="007732CE" w:rsidP="007732CE">
            <w:pPr>
              <w:shd w:val="clear" w:color="auto" w:fill="auto"/>
              <w:spacing w:after="160"/>
              <w:rPr>
                <w:rFonts w:eastAsia="Calibri" w:cs="Calibri"/>
              </w:rPr>
            </w:pPr>
            <w:r w:rsidRPr="007732CE">
              <w:rPr>
                <w:rFonts w:eastAsia="Calibri" w:cs="Calibri"/>
              </w:rPr>
              <w:t>Liczba punktów oferty = C</w:t>
            </w:r>
          </w:p>
          <w:p w14:paraId="07457048" w14:textId="2E9DBAF9" w:rsidR="00FA6F1B" w:rsidRDefault="007732CE" w:rsidP="007732CE">
            <w:pPr>
              <w:shd w:val="clear" w:color="auto" w:fill="auto"/>
              <w:spacing w:after="160"/>
              <w:rPr>
                <w:rFonts w:eastAsia="Calibri" w:cs="Calibri"/>
              </w:rPr>
            </w:pPr>
            <w:r w:rsidRPr="007732CE">
              <w:rPr>
                <w:rFonts w:eastAsia="Calibri" w:cs="Calibri"/>
              </w:rPr>
              <w:t>Zamówienie zostanie udzielone podmiotowi, który otrzyma największą liczbę punktów oferty.</w:t>
            </w:r>
          </w:p>
        </w:tc>
      </w:tr>
      <w:tr w:rsidR="00DC1212" w14:paraId="31FAB11A" w14:textId="77777777" w:rsidTr="00F021C6">
        <w:trPr>
          <w:trHeight w:val="537"/>
        </w:trPr>
        <w:tc>
          <w:tcPr>
            <w:tcW w:w="9467" w:type="dxa"/>
            <w:vAlign w:val="center"/>
          </w:tcPr>
          <w:p w14:paraId="4762BD08" w14:textId="4B4DC421" w:rsidR="00DC1212" w:rsidRDefault="00DC1212" w:rsidP="00F021C6">
            <w:pPr>
              <w:shd w:val="clear" w:color="auto" w:fill="auto"/>
              <w:spacing w:after="160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6. Termin składania ofert</w:t>
            </w:r>
          </w:p>
        </w:tc>
      </w:tr>
      <w:tr w:rsidR="00DC1212" w14:paraId="220193D6" w14:textId="77777777" w:rsidTr="001B04C0">
        <w:trPr>
          <w:trHeight w:val="2523"/>
        </w:trPr>
        <w:tc>
          <w:tcPr>
            <w:tcW w:w="9467" w:type="dxa"/>
          </w:tcPr>
          <w:p w14:paraId="0A0CF29F" w14:textId="77777777" w:rsidR="00DC1212" w:rsidRDefault="00DC1212" w:rsidP="00DC1212">
            <w:pPr>
              <w:rPr>
                <w:rFonts w:eastAsia="Calibri" w:cs="Calibri"/>
              </w:rPr>
            </w:pPr>
          </w:p>
          <w:p w14:paraId="043A0024" w14:textId="6270522A" w:rsidR="00DC1212" w:rsidRDefault="00DC1212" w:rsidP="00DC1212">
            <w:r>
              <w:rPr>
                <w:rFonts w:eastAsia="Calibri" w:cs="Calibri"/>
              </w:rPr>
              <w:t xml:space="preserve">Oferta powinna być złożona w terminie do </w:t>
            </w:r>
            <w:r w:rsidRPr="00594CCA">
              <w:rPr>
                <w:rFonts w:eastAsia="Calibri" w:cs="Calibri"/>
              </w:rPr>
              <w:t>7 dni od dnia ogłoszenia na stronie www.tarr.org.pl</w:t>
            </w:r>
            <w:r>
              <w:rPr>
                <w:rFonts w:eastAsia="Calibri" w:cs="Calibri"/>
              </w:rPr>
              <w:t>.</w:t>
            </w:r>
            <w:r>
              <w:rPr>
                <w:rFonts w:eastAsia="Calibri" w:cs="Calibri"/>
              </w:rPr>
              <w:br/>
              <w:t>Oferty złożone po tym terminie nie będą rozpatrywane.</w:t>
            </w:r>
          </w:p>
          <w:p w14:paraId="40241AE1" w14:textId="77777777" w:rsidR="00DC1212" w:rsidRDefault="00DC1212" w:rsidP="00DC1212">
            <w:pPr>
              <w:rPr>
                <w:rFonts w:eastAsia="Calibri" w:cs="Calibri"/>
              </w:rPr>
            </w:pPr>
          </w:p>
          <w:p w14:paraId="4427ED40" w14:textId="77777777" w:rsidR="00DC1212" w:rsidRDefault="00DC1212" w:rsidP="00DC1212">
            <w:r>
              <w:rPr>
                <w:rFonts w:eastAsia="Calibri" w:cs="Calibri"/>
              </w:rPr>
              <w:t>Zamawiająca zastrzega sobie prawo unieważnienia postępowania przetargowego w całości lub w części na dowolnym etapie i z dowolnej przyczyny.</w:t>
            </w:r>
          </w:p>
          <w:p w14:paraId="4B4E9D9E" w14:textId="77777777" w:rsidR="00DC1212" w:rsidRDefault="00DC1212">
            <w:pPr>
              <w:shd w:val="clear" w:color="auto" w:fill="auto"/>
              <w:spacing w:after="160"/>
              <w:rPr>
                <w:rFonts w:eastAsia="Calibri" w:cs="Calibri"/>
              </w:rPr>
            </w:pPr>
          </w:p>
        </w:tc>
      </w:tr>
      <w:tr w:rsidR="00DC1212" w14:paraId="157ABE87" w14:textId="77777777" w:rsidTr="00F021C6">
        <w:trPr>
          <w:trHeight w:val="537"/>
        </w:trPr>
        <w:tc>
          <w:tcPr>
            <w:tcW w:w="9467" w:type="dxa"/>
            <w:vAlign w:val="center"/>
          </w:tcPr>
          <w:p w14:paraId="2C42B086" w14:textId="79E79110" w:rsidR="00DC1212" w:rsidRDefault="00DC1212" w:rsidP="00F021C6">
            <w:pPr>
              <w:shd w:val="clear" w:color="auto" w:fill="auto"/>
              <w:spacing w:after="160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7. Miejsce i sposób składania ofert</w:t>
            </w:r>
          </w:p>
        </w:tc>
      </w:tr>
      <w:tr w:rsidR="00DC1212" w14:paraId="62C0B59D" w14:textId="77777777" w:rsidTr="001B04C0">
        <w:trPr>
          <w:trHeight w:val="1646"/>
        </w:trPr>
        <w:tc>
          <w:tcPr>
            <w:tcW w:w="9467" w:type="dxa"/>
          </w:tcPr>
          <w:p w14:paraId="4893A010" w14:textId="77777777" w:rsidR="00DC1212" w:rsidRDefault="00DC1212" w:rsidP="00DC1212">
            <w:pPr>
              <w:rPr>
                <w:rFonts w:eastAsia="Calibri" w:cs="Calibri"/>
              </w:rPr>
            </w:pPr>
          </w:p>
          <w:p w14:paraId="5FD6B4F3" w14:textId="42EC85A5" w:rsidR="00DC1212" w:rsidRPr="00F86EE9" w:rsidRDefault="00DC1212" w:rsidP="00DC1212">
            <w:r>
              <w:rPr>
                <w:rFonts w:eastAsia="Calibri" w:cs="Calibri"/>
              </w:rPr>
              <w:t>Oferty należy składać w formie elektronicznej na adres:</w:t>
            </w:r>
            <w:r w:rsidR="00F86EE9">
              <w:rPr>
                <w:rFonts w:eastAsia="Calibri" w:cs="Calibri"/>
              </w:rPr>
              <w:t xml:space="preserve"> </w:t>
            </w:r>
            <w:r w:rsidR="00FA73D5">
              <w:rPr>
                <w:rFonts w:eastAsia="Calibri" w:cs="Calibri"/>
                <w:b/>
              </w:rPr>
              <w:t>abmabydgoszcz@wp.pl</w:t>
            </w:r>
            <w:r>
              <w:rPr>
                <w:rFonts w:eastAsia="Calibri" w:cs="Calibri"/>
                <w:b/>
              </w:rPr>
              <w:t>.</w:t>
            </w:r>
          </w:p>
          <w:p w14:paraId="1C3D6414" w14:textId="77777777" w:rsidR="00DC1212" w:rsidRDefault="00DC1212" w:rsidP="00DC1212">
            <w:r>
              <w:rPr>
                <w:rFonts w:eastAsia="Calibri" w:cs="Calibri"/>
              </w:rPr>
              <w:t>Terminem złożenia oferty jest termin jej wpływu do Zamawiającego.</w:t>
            </w:r>
          </w:p>
          <w:p w14:paraId="185DD4FD" w14:textId="52F0C59E" w:rsidR="00DC1212" w:rsidRDefault="00DC1212" w:rsidP="00DC1212">
            <w:pPr>
              <w:shd w:val="clear" w:color="auto" w:fill="auto"/>
              <w:spacing w:after="160"/>
              <w:rPr>
                <w:rFonts w:eastAsia="Calibri" w:cs="Calibri"/>
              </w:rPr>
            </w:pPr>
          </w:p>
        </w:tc>
      </w:tr>
      <w:tr w:rsidR="00DC1212" w14:paraId="651B5147" w14:textId="77777777" w:rsidTr="00F021C6">
        <w:trPr>
          <w:trHeight w:val="537"/>
        </w:trPr>
        <w:tc>
          <w:tcPr>
            <w:tcW w:w="9467" w:type="dxa"/>
            <w:vAlign w:val="center"/>
          </w:tcPr>
          <w:p w14:paraId="3C5A0915" w14:textId="2E075D92" w:rsidR="00DC1212" w:rsidRDefault="00DC1212" w:rsidP="00F021C6">
            <w:pPr>
              <w:shd w:val="clear" w:color="auto" w:fill="auto"/>
              <w:spacing w:after="160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8. Termin realizacji umowy</w:t>
            </w:r>
          </w:p>
        </w:tc>
      </w:tr>
      <w:tr w:rsidR="00DC1212" w14:paraId="6014E49E" w14:textId="77777777" w:rsidTr="001B04C0">
        <w:trPr>
          <w:trHeight w:val="1553"/>
        </w:trPr>
        <w:tc>
          <w:tcPr>
            <w:tcW w:w="9467" w:type="dxa"/>
          </w:tcPr>
          <w:p w14:paraId="58040137" w14:textId="77777777" w:rsidR="00DC1212" w:rsidRDefault="00DC1212" w:rsidP="00DC1212">
            <w:pPr>
              <w:rPr>
                <w:rFonts w:eastAsia="Calibri" w:cs="Calibri"/>
              </w:rPr>
            </w:pPr>
          </w:p>
          <w:p w14:paraId="077FF5CE" w14:textId="0FFC2558" w:rsidR="00DC1212" w:rsidRDefault="00DC1212" w:rsidP="00DC1212">
            <w:pPr>
              <w:rPr>
                <w:rFonts w:eastAsia="Calibri" w:cs="Calibri"/>
                <w:u w:val="single"/>
              </w:rPr>
            </w:pPr>
            <w:r>
              <w:rPr>
                <w:rFonts w:eastAsia="Calibri" w:cs="Calibri"/>
              </w:rPr>
              <w:t>Przedmiot niniejszego postępowania musi zostać dostarczony do Zamawiającego w terminie wskazanym w ofercie</w:t>
            </w:r>
            <w:r w:rsidR="009E49BD">
              <w:rPr>
                <w:rFonts w:eastAsia="Calibri" w:cs="Calibri"/>
              </w:rPr>
              <w:t>.</w:t>
            </w:r>
          </w:p>
          <w:p w14:paraId="705AA265" w14:textId="53058899" w:rsidR="00DC1212" w:rsidRDefault="00DC1212" w:rsidP="00DC1212">
            <w:pPr>
              <w:shd w:val="clear" w:color="auto" w:fill="auto"/>
              <w:spacing w:after="160"/>
              <w:rPr>
                <w:rFonts w:eastAsia="Calibri" w:cs="Calibri"/>
              </w:rPr>
            </w:pPr>
            <w:r w:rsidRPr="00D46B08">
              <w:rPr>
                <w:rFonts w:eastAsia="Calibri" w:cs="Calibri"/>
              </w:rPr>
              <w:t>Dostawca może wykonać umowę wcześniej niż wyznaczone powyżej terminy.</w:t>
            </w:r>
          </w:p>
        </w:tc>
      </w:tr>
      <w:tr w:rsidR="00DC1212" w14:paraId="5A7A8D44" w14:textId="77777777" w:rsidTr="001B04C0">
        <w:trPr>
          <w:trHeight w:val="343"/>
        </w:trPr>
        <w:tc>
          <w:tcPr>
            <w:tcW w:w="9467" w:type="dxa"/>
          </w:tcPr>
          <w:p w14:paraId="50F4CD73" w14:textId="2A8A5766" w:rsidR="00DC1212" w:rsidRDefault="00DC1212" w:rsidP="00DC1212">
            <w:pPr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9. Kontakt w sprawie składania ofert</w:t>
            </w:r>
          </w:p>
        </w:tc>
      </w:tr>
      <w:tr w:rsidR="00DC1212" w14:paraId="0A98FC45" w14:textId="77777777" w:rsidTr="001B04C0">
        <w:trPr>
          <w:trHeight w:val="1593"/>
        </w:trPr>
        <w:tc>
          <w:tcPr>
            <w:tcW w:w="9467" w:type="dxa"/>
          </w:tcPr>
          <w:p w14:paraId="24EEA6C4" w14:textId="77777777" w:rsidR="00DC1212" w:rsidRDefault="00DC1212" w:rsidP="00DC1212">
            <w:pPr>
              <w:tabs>
                <w:tab w:val="left" w:pos="1470"/>
              </w:tabs>
              <w:rPr>
                <w:rFonts w:eastAsia="Calibri" w:cs="Calibri"/>
                <w:b/>
              </w:rPr>
            </w:pPr>
          </w:p>
          <w:p w14:paraId="6E4BD2E4" w14:textId="3C4ACAF8" w:rsidR="00DC1212" w:rsidRDefault="009E49BD" w:rsidP="00DC1212">
            <w:pPr>
              <w:tabs>
                <w:tab w:val="left" w:pos="1470"/>
              </w:tabs>
            </w:pPr>
            <w:r>
              <w:rPr>
                <w:rFonts w:eastAsia="Calibri" w:cs="Calibri"/>
                <w:b/>
              </w:rPr>
              <w:t>Krzysztof Jankowski</w:t>
            </w:r>
          </w:p>
          <w:p w14:paraId="5BC408F8" w14:textId="013C0BB7" w:rsidR="00DC1212" w:rsidRDefault="00DC1212" w:rsidP="00DC1212">
            <w:pPr>
              <w:shd w:val="clear" w:color="auto" w:fill="auto"/>
              <w:spacing w:after="16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adres mailowy: </w:t>
            </w:r>
            <w:r w:rsidR="00FA73D5">
              <w:rPr>
                <w:rFonts w:eastAsia="Calibri" w:cs="Calibri"/>
                <w:b/>
              </w:rPr>
              <w:t>abmabydgoszcz@wp.pl</w:t>
            </w:r>
          </w:p>
        </w:tc>
      </w:tr>
    </w:tbl>
    <w:p w14:paraId="266D3D80" w14:textId="74EC1060" w:rsidR="00DC1212" w:rsidRDefault="00F86EE9">
      <w:pPr>
        <w:spacing w:after="160"/>
      </w:pPr>
      <w:r>
        <w:lastRenderedPageBreak/>
        <w:br/>
      </w:r>
      <w:r w:rsidR="00DC1212">
        <w:t>Informacje, które powinny zostać upublicznione w zapytaniu ofertowym, jeżeli Zamawiający je przewidział:</w:t>
      </w:r>
    </w:p>
    <w:p w14:paraId="2D010E9F" w14:textId="77777777" w:rsidR="00F86EE9" w:rsidRDefault="00F86EE9">
      <w:pPr>
        <w:spacing w:after="16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C1212" w14:paraId="2ABAFCBF" w14:textId="77777777" w:rsidTr="00DC1212">
        <w:tc>
          <w:tcPr>
            <w:tcW w:w="9060" w:type="dxa"/>
          </w:tcPr>
          <w:p w14:paraId="2B27A393" w14:textId="6FCDD085" w:rsidR="00DC1212" w:rsidRDefault="00DC1212">
            <w:pPr>
              <w:shd w:val="clear" w:color="auto" w:fill="auto"/>
              <w:spacing w:after="160"/>
            </w:pPr>
            <w:r>
              <w:rPr>
                <w:rFonts w:eastAsia="Calibri" w:cs="Calibri"/>
                <w:b/>
              </w:rPr>
              <w:t>10. Warunki istotnych zmian umowy zawartej w   wyniku przeprowadzonego postępowania o   udzielenie zamówienia, o ile przewiduje się możliwość zmiany takiej umowy</w:t>
            </w:r>
          </w:p>
        </w:tc>
      </w:tr>
      <w:tr w:rsidR="00DC1212" w14:paraId="38F08DAE" w14:textId="77777777" w:rsidTr="00DC1212">
        <w:tc>
          <w:tcPr>
            <w:tcW w:w="9060" w:type="dxa"/>
          </w:tcPr>
          <w:p w14:paraId="5DAC147B" w14:textId="77777777" w:rsidR="001B04C0" w:rsidRDefault="001B04C0" w:rsidP="00DC1212">
            <w:pPr>
              <w:jc w:val="both"/>
              <w:rPr>
                <w:rFonts w:eastAsia="Calibri" w:cs="Calibri"/>
              </w:rPr>
            </w:pPr>
          </w:p>
          <w:p w14:paraId="66C825C5" w14:textId="3AFB81B7" w:rsidR="00DC1212" w:rsidRDefault="00DC1212" w:rsidP="00DC1212">
            <w:pPr>
              <w:jc w:val="both"/>
            </w:pPr>
            <w:r>
              <w:rPr>
                <w:rFonts w:eastAsia="Calibri" w:cs="Calibri"/>
              </w:rPr>
              <w:t>Zamawiający zastrzega sobie prawo do możliwości wprowadzenia następujących zmian do umowy, w okolicznościach określonych poniżej:</w:t>
            </w:r>
          </w:p>
          <w:p w14:paraId="275DEDDB" w14:textId="77777777" w:rsidR="00DC1212" w:rsidRDefault="00DC1212" w:rsidP="00DC1212">
            <w:pPr>
              <w:jc w:val="both"/>
            </w:pPr>
            <w:r>
              <w:rPr>
                <w:rFonts w:eastAsia="Calibri" w:cs="Calibri"/>
              </w:rPr>
              <w:t>a) zmiana terminu realizacji umowy – w przypadku, gdy: niedotrzymanie pierwotnego terminu realizacji umowy wynika z napotkania przez Wykonawcę lub Zamawiającego okoliczności niemożliwych do przewidzenia i niezależnych od nich, np. wystąpienia zjawisk związanych z działaniem siły wyższej m.in. klęska żywiołowa, niepokoje społeczne, działania wojskowe. Ciężar udowodnienia wystąpienia siły wyższej spoczywać będzie na Wykonawcy lub Zamawiającym;</w:t>
            </w:r>
          </w:p>
          <w:p w14:paraId="597AA4A0" w14:textId="77777777" w:rsidR="00DC1212" w:rsidRDefault="00DC1212" w:rsidP="00DC1212">
            <w:pPr>
              <w:jc w:val="both"/>
            </w:pPr>
            <w:r>
              <w:rPr>
                <w:rFonts w:eastAsia="Calibri" w:cs="Calibri"/>
              </w:rPr>
              <w:t>b) zmiana terminu płatności – w przypadku: np. ograniczenia finansowego po stronie Zamawiającego, z przyczyn od niego niezależnych m.in. w sytuacji odstąpienia jednostki przekazującej dofinansowanie od dofinansowania projektu;</w:t>
            </w:r>
          </w:p>
          <w:p w14:paraId="510A858F" w14:textId="77777777" w:rsidR="00DC1212" w:rsidRDefault="00DC1212" w:rsidP="00DC1212">
            <w:pPr>
              <w:jc w:val="both"/>
            </w:pPr>
            <w:r>
              <w:rPr>
                <w:rFonts w:eastAsia="Calibri" w:cs="Calibri"/>
              </w:rPr>
              <w:t>c) zmiany harmonogramu płatności – w przypadku wystąpienia nieprzewidzianych w dniu podpisania umowy okoliczności, wpływających na wysokość i termin częściowych płatności chociażby takich jak wcześniejsze wyprodukowanie środka trwałego;</w:t>
            </w:r>
          </w:p>
          <w:p w14:paraId="1BB2AD52" w14:textId="77777777" w:rsidR="00DC1212" w:rsidRDefault="00DC1212" w:rsidP="00DC1212">
            <w:pPr>
              <w:jc w:val="both"/>
            </w:pPr>
            <w:r>
              <w:rPr>
                <w:rFonts w:eastAsia="Calibri" w:cs="Calibri"/>
              </w:rPr>
              <w:t>d) zmiana zapisów umowy innych niż zapisy wynikające z oferty – w przypadku np. zmiany powszechnie obowiązujących przepisów prawa w zakresie mającym wpływ na realizację przedmiotu umowy;</w:t>
            </w:r>
          </w:p>
          <w:p w14:paraId="30AFEB9F" w14:textId="77777777" w:rsidR="00DC1212" w:rsidRDefault="00DC1212" w:rsidP="00DC1212">
            <w:pPr>
              <w:jc w:val="both"/>
            </w:pPr>
            <w:r>
              <w:rPr>
                <w:rFonts w:eastAsia="Calibri" w:cs="Calibri"/>
              </w:rPr>
              <w:t xml:space="preserve">e) wystąpienia oczywistych omyłek pisarskich i rachunkowych w treści umowy.  </w:t>
            </w:r>
          </w:p>
          <w:p w14:paraId="627EE3A8" w14:textId="77777777" w:rsidR="00DC1212" w:rsidRDefault="00DC1212">
            <w:pPr>
              <w:shd w:val="clear" w:color="auto" w:fill="auto"/>
              <w:spacing w:after="160"/>
            </w:pPr>
          </w:p>
        </w:tc>
      </w:tr>
      <w:tr w:rsidR="00DC1212" w14:paraId="3FFF4AE5" w14:textId="77777777" w:rsidTr="001B04C0">
        <w:tc>
          <w:tcPr>
            <w:tcW w:w="9060" w:type="dxa"/>
            <w:vAlign w:val="center"/>
          </w:tcPr>
          <w:p w14:paraId="7F782A64" w14:textId="5BF7F431" w:rsidR="00DC1212" w:rsidRDefault="00DC1212" w:rsidP="001B04C0">
            <w:pPr>
              <w:shd w:val="clear" w:color="auto" w:fill="auto"/>
              <w:spacing w:after="160"/>
            </w:pPr>
            <w:r>
              <w:rPr>
                <w:rFonts w:eastAsia="Calibri" w:cs="Calibri"/>
                <w:b/>
              </w:rPr>
              <w:t>11. Możliwość składania ofert częściowych, o ile zamawiający taką możliwość przewiduje</w:t>
            </w:r>
          </w:p>
        </w:tc>
      </w:tr>
      <w:tr w:rsidR="00DC1212" w14:paraId="69414D9D" w14:textId="77777777" w:rsidTr="001B04C0">
        <w:trPr>
          <w:trHeight w:val="532"/>
        </w:trPr>
        <w:tc>
          <w:tcPr>
            <w:tcW w:w="9060" w:type="dxa"/>
            <w:vAlign w:val="center"/>
          </w:tcPr>
          <w:p w14:paraId="3FE903BD" w14:textId="64D5A25B" w:rsidR="00DC1212" w:rsidRDefault="00DC1212" w:rsidP="001B04C0">
            <w:r>
              <w:rPr>
                <w:rFonts w:eastAsia="Calibri" w:cs="Calibri"/>
              </w:rPr>
              <w:t xml:space="preserve">Zamawiający </w:t>
            </w:r>
            <w:r w:rsidR="001B04C0" w:rsidRPr="001B04C0">
              <w:rPr>
                <w:rFonts w:eastAsia="Calibri" w:cs="Calibri"/>
                <w:b/>
                <w:bCs/>
                <w:u w:val="single"/>
              </w:rPr>
              <w:t xml:space="preserve">nie </w:t>
            </w:r>
            <w:r w:rsidRPr="00380090">
              <w:rPr>
                <w:rFonts w:eastAsia="Calibri" w:cs="Calibri"/>
                <w:b/>
                <w:bCs/>
                <w:u w:val="single"/>
              </w:rPr>
              <w:t>d</w:t>
            </w:r>
            <w:r>
              <w:rPr>
                <w:rFonts w:eastAsia="Calibri" w:cs="Calibri"/>
                <w:b/>
                <w:u w:val="single"/>
              </w:rPr>
              <w:t>opuszcza</w:t>
            </w:r>
            <w:r>
              <w:rPr>
                <w:rFonts w:eastAsia="Calibri" w:cs="Calibri"/>
              </w:rPr>
              <w:t xml:space="preserve"> możliwoś</w:t>
            </w:r>
            <w:r w:rsidR="001B04C0">
              <w:rPr>
                <w:rFonts w:eastAsia="Calibri" w:cs="Calibri"/>
              </w:rPr>
              <w:t>ci</w:t>
            </w:r>
            <w:r>
              <w:rPr>
                <w:rFonts w:eastAsia="Calibri" w:cs="Calibri"/>
              </w:rPr>
              <w:t xml:space="preserve"> składania ofert częściowych.</w:t>
            </w:r>
          </w:p>
        </w:tc>
      </w:tr>
      <w:tr w:rsidR="00DC1212" w14:paraId="2C89E39D" w14:textId="77777777" w:rsidTr="001B04C0">
        <w:trPr>
          <w:trHeight w:val="1529"/>
        </w:trPr>
        <w:tc>
          <w:tcPr>
            <w:tcW w:w="9060" w:type="dxa"/>
            <w:vAlign w:val="center"/>
          </w:tcPr>
          <w:p w14:paraId="31300B6C" w14:textId="77777777" w:rsidR="00DC1212" w:rsidRDefault="00DC1212" w:rsidP="001B04C0">
            <w:pPr>
              <w:shd w:val="clear" w:color="auto" w:fill="auto"/>
              <w:spacing w:after="160"/>
              <w:rPr>
                <w:rFonts w:eastAsia="Calibri" w:cs="Calibri"/>
                <w:b/>
              </w:rPr>
            </w:pPr>
          </w:p>
          <w:p w14:paraId="094B65B7" w14:textId="07F7316E" w:rsidR="00DC1212" w:rsidRDefault="00DC1212" w:rsidP="001B04C0">
            <w:pPr>
              <w:shd w:val="clear" w:color="auto" w:fill="auto"/>
              <w:spacing w:after="160"/>
            </w:pPr>
            <w:r>
              <w:rPr>
                <w:rFonts w:eastAsia="Calibri" w:cs="Calibri"/>
                <w:b/>
              </w:rPr>
              <w:t>12. Sposób przedstawiania ofert wariantowych oraz minimalne warunki, jakim muszą odpowiadać oferty wariantowe wraz z wybranymi kryteriami oceny, jeżeli zamawiający wymaga lub dopuszcza ich składanie</w:t>
            </w:r>
          </w:p>
        </w:tc>
      </w:tr>
      <w:tr w:rsidR="00DC1212" w14:paraId="7F967D02" w14:textId="77777777" w:rsidTr="001B04C0">
        <w:trPr>
          <w:trHeight w:val="556"/>
        </w:trPr>
        <w:tc>
          <w:tcPr>
            <w:tcW w:w="9060" w:type="dxa"/>
            <w:vAlign w:val="center"/>
          </w:tcPr>
          <w:p w14:paraId="40EDD879" w14:textId="766B2F76" w:rsidR="00DC1212" w:rsidRDefault="00DC1212" w:rsidP="001B04C0">
            <w:r>
              <w:rPr>
                <w:rFonts w:eastAsia="Calibri" w:cs="Calibri"/>
              </w:rPr>
              <w:t xml:space="preserve">Zamawiający </w:t>
            </w:r>
            <w:r>
              <w:rPr>
                <w:rFonts w:eastAsia="Calibri" w:cs="Calibri"/>
                <w:b/>
                <w:u w:val="single"/>
              </w:rPr>
              <w:t>dopuszcza</w:t>
            </w:r>
            <w:r>
              <w:rPr>
                <w:rFonts w:eastAsia="Calibri" w:cs="Calibri"/>
              </w:rPr>
              <w:t xml:space="preserve"> </w:t>
            </w:r>
            <w:r w:rsidR="00FA73D5">
              <w:rPr>
                <w:rFonts w:eastAsia="Calibri" w:cs="Calibri"/>
              </w:rPr>
              <w:t xml:space="preserve">możliwość </w:t>
            </w:r>
            <w:r>
              <w:rPr>
                <w:rFonts w:eastAsia="Calibri" w:cs="Calibri"/>
              </w:rPr>
              <w:t>składania ofert wariantowych.</w:t>
            </w:r>
          </w:p>
        </w:tc>
      </w:tr>
    </w:tbl>
    <w:p w14:paraId="1C0322DF" w14:textId="77777777" w:rsidR="00DC1212" w:rsidRDefault="00DC1212">
      <w:pPr>
        <w:spacing w:after="160"/>
      </w:pPr>
    </w:p>
    <w:p w14:paraId="46D990C7" w14:textId="5E2C9C02" w:rsidR="00F86EE9" w:rsidRDefault="00301172" w:rsidP="00F86EE9">
      <w:pPr>
        <w:spacing w:after="160"/>
        <w:rPr>
          <w:rFonts w:eastAsia="Calibri" w:cs="Calibri"/>
          <w:b/>
        </w:rPr>
      </w:pPr>
      <w:r>
        <w:rPr>
          <w:rFonts w:eastAsia="Calibri" w:cs="Calibri"/>
        </w:rPr>
        <w:br/>
      </w:r>
    </w:p>
    <w:sectPr w:rsidR="00F86EE9">
      <w:headerReference w:type="default" r:id="rId8"/>
      <w:pgSz w:w="11906" w:h="16838"/>
      <w:pgMar w:top="1418" w:right="1418" w:bottom="709" w:left="1418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25A58" w14:textId="77777777" w:rsidR="00B700E6" w:rsidRDefault="00B700E6">
      <w:r>
        <w:separator/>
      </w:r>
    </w:p>
  </w:endnote>
  <w:endnote w:type="continuationSeparator" w:id="0">
    <w:p w14:paraId="331A0863" w14:textId="77777777" w:rsidR="00B700E6" w:rsidRDefault="00B7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67E1F" w14:textId="77777777" w:rsidR="00B700E6" w:rsidRDefault="00B700E6">
      <w:r>
        <w:separator/>
      </w:r>
    </w:p>
  </w:footnote>
  <w:footnote w:type="continuationSeparator" w:id="0">
    <w:p w14:paraId="188D17F6" w14:textId="77777777" w:rsidR="00B700E6" w:rsidRDefault="00B70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7A91D" w14:textId="77777777" w:rsidR="00B93272" w:rsidRDefault="00B93272">
    <w:pPr>
      <w:pStyle w:val="Nagwek"/>
    </w:pPr>
  </w:p>
  <w:p w14:paraId="122F76DC" w14:textId="77777777" w:rsidR="00B93272" w:rsidRDefault="007A0B07">
    <w:pPr>
      <w:pStyle w:val="Nagwek"/>
    </w:pPr>
    <w:r>
      <w:rPr>
        <w:noProof/>
      </w:rPr>
      <w:drawing>
        <wp:inline distT="0" distB="0" distL="0" distR="0" wp14:anchorId="0F90B0C6" wp14:editId="3CDA625D">
          <wp:extent cx="5895340" cy="8286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9534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804"/>
    <w:multiLevelType w:val="hybridMultilevel"/>
    <w:tmpl w:val="427CF814"/>
    <w:lvl w:ilvl="0" w:tplc="C83EA16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5206"/>
    <w:multiLevelType w:val="multilevel"/>
    <w:tmpl w:val="04208470"/>
    <w:lvl w:ilvl="0">
      <w:start w:val="1"/>
      <w:numFmt w:val="bullet"/>
      <w:lvlText w:val=""/>
      <w:lvlJc w:val="left"/>
      <w:pPr>
        <w:ind w:left="139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3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5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9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1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5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E111CF"/>
    <w:multiLevelType w:val="hybridMultilevel"/>
    <w:tmpl w:val="B4C689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7DF3E04"/>
    <w:multiLevelType w:val="hybridMultilevel"/>
    <w:tmpl w:val="DCF2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6A3D"/>
    <w:multiLevelType w:val="hybridMultilevel"/>
    <w:tmpl w:val="F432E02A"/>
    <w:lvl w:ilvl="0" w:tplc="AEEC06C4">
      <w:start w:val="1"/>
      <w:numFmt w:val="decimal"/>
      <w:lvlText w:val="%1."/>
      <w:lvlJc w:val="left"/>
      <w:pPr>
        <w:ind w:left="180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616641"/>
    <w:multiLevelType w:val="multilevel"/>
    <w:tmpl w:val="449A46C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44F0A29"/>
    <w:multiLevelType w:val="hybridMultilevel"/>
    <w:tmpl w:val="E52EB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45C2F"/>
    <w:multiLevelType w:val="multilevel"/>
    <w:tmpl w:val="89A88EA4"/>
    <w:lvl w:ilvl="0">
      <w:start w:val="1"/>
      <w:numFmt w:val="bullet"/>
      <w:lvlText w:val=""/>
      <w:lvlJc w:val="left"/>
      <w:pPr>
        <w:ind w:left="363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3473C52"/>
    <w:multiLevelType w:val="hybridMultilevel"/>
    <w:tmpl w:val="C512DC72"/>
    <w:lvl w:ilvl="0" w:tplc="AEEC06C4">
      <w:start w:val="1"/>
      <w:numFmt w:val="decimal"/>
      <w:lvlText w:val="%1."/>
      <w:lvlJc w:val="left"/>
      <w:pPr>
        <w:ind w:left="108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A41E5"/>
    <w:multiLevelType w:val="hybridMultilevel"/>
    <w:tmpl w:val="CECE4FF0"/>
    <w:lvl w:ilvl="0" w:tplc="AEEC06C4">
      <w:start w:val="1"/>
      <w:numFmt w:val="decimal"/>
      <w:lvlText w:val="%1."/>
      <w:lvlJc w:val="left"/>
      <w:pPr>
        <w:ind w:left="108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D0726D"/>
    <w:multiLevelType w:val="hybridMultilevel"/>
    <w:tmpl w:val="0B480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4571B"/>
    <w:multiLevelType w:val="hybridMultilevel"/>
    <w:tmpl w:val="C9ECE70A"/>
    <w:lvl w:ilvl="0" w:tplc="C83EA166">
      <w:start w:val="1"/>
      <w:numFmt w:val="decimal"/>
      <w:lvlText w:val="%1."/>
      <w:lvlJc w:val="left"/>
      <w:pPr>
        <w:ind w:left="110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61530AC3"/>
    <w:multiLevelType w:val="multilevel"/>
    <w:tmpl w:val="1240A51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5AE0A07"/>
    <w:multiLevelType w:val="hybridMultilevel"/>
    <w:tmpl w:val="BBA07A56"/>
    <w:lvl w:ilvl="0" w:tplc="C83EA166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6A3A1C"/>
    <w:multiLevelType w:val="multilevel"/>
    <w:tmpl w:val="0D86351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000000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C5D19"/>
    <w:multiLevelType w:val="multilevel"/>
    <w:tmpl w:val="9B581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40940"/>
    <w:multiLevelType w:val="hybridMultilevel"/>
    <w:tmpl w:val="144E6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E68D3"/>
    <w:multiLevelType w:val="multilevel"/>
    <w:tmpl w:val="792E5C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726A249C"/>
    <w:multiLevelType w:val="hybridMultilevel"/>
    <w:tmpl w:val="703C2DEC"/>
    <w:lvl w:ilvl="0" w:tplc="AEEC06C4">
      <w:start w:val="1"/>
      <w:numFmt w:val="decimal"/>
      <w:lvlText w:val="%1."/>
      <w:lvlJc w:val="left"/>
      <w:pPr>
        <w:ind w:left="108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6184D"/>
    <w:multiLevelType w:val="hybridMultilevel"/>
    <w:tmpl w:val="D1CE8B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9645AD"/>
    <w:multiLevelType w:val="hybridMultilevel"/>
    <w:tmpl w:val="5DF4D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7"/>
  </w:num>
  <w:num w:numId="5">
    <w:abstractNumId w:val="15"/>
  </w:num>
  <w:num w:numId="6">
    <w:abstractNumId w:val="17"/>
  </w:num>
  <w:num w:numId="7">
    <w:abstractNumId w:val="16"/>
  </w:num>
  <w:num w:numId="8">
    <w:abstractNumId w:val="14"/>
  </w:num>
  <w:num w:numId="9">
    <w:abstractNumId w:val="20"/>
  </w:num>
  <w:num w:numId="10">
    <w:abstractNumId w:val="2"/>
  </w:num>
  <w:num w:numId="11">
    <w:abstractNumId w:val="6"/>
  </w:num>
  <w:num w:numId="12">
    <w:abstractNumId w:val="19"/>
  </w:num>
  <w:num w:numId="13">
    <w:abstractNumId w:val="9"/>
  </w:num>
  <w:num w:numId="14">
    <w:abstractNumId w:val="4"/>
  </w:num>
  <w:num w:numId="15">
    <w:abstractNumId w:val="18"/>
  </w:num>
  <w:num w:numId="16">
    <w:abstractNumId w:val="8"/>
  </w:num>
  <w:num w:numId="17">
    <w:abstractNumId w:val="10"/>
  </w:num>
  <w:num w:numId="18">
    <w:abstractNumId w:val="3"/>
  </w:num>
  <w:num w:numId="19">
    <w:abstractNumId w:val="0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72"/>
    <w:rsid w:val="000138DC"/>
    <w:rsid w:val="00034A70"/>
    <w:rsid w:val="00037FCC"/>
    <w:rsid w:val="00041BCA"/>
    <w:rsid w:val="00052383"/>
    <w:rsid w:val="00063FE3"/>
    <w:rsid w:val="00092DA4"/>
    <w:rsid w:val="000F68BF"/>
    <w:rsid w:val="00173F2A"/>
    <w:rsid w:val="00175456"/>
    <w:rsid w:val="00190B90"/>
    <w:rsid w:val="001B04C0"/>
    <w:rsid w:val="001B29E6"/>
    <w:rsid w:val="001D5D4E"/>
    <w:rsid w:val="00203F4D"/>
    <w:rsid w:val="002066A7"/>
    <w:rsid w:val="00220D2C"/>
    <w:rsid w:val="00223277"/>
    <w:rsid w:val="00260502"/>
    <w:rsid w:val="00263B71"/>
    <w:rsid w:val="002729DA"/>
    <w:rsid w:val="002779A5"/>
    <w:rsid w:val="002949FD"/>
    <w:rsid w:val="00297C82"/>
    <w:rsid w:val="002A3D68"/>
    <w:rsid w:val="002A72E8"/>
    <w:rsid w:val="002B193E"/>
    <w:rsid w:val="002D76D9"/>
    <w:rsid w:val="002F237A"/>
    <w:rsid w:val="00301172"/>
    <w:rsid w:val="00310217"/>
    <w:rsid w:val="003217AC"/>
    <w:rsid w:val="00340FF8"/>
    <w:rsid w:val="00373294"/>
    <w:rsid w:val="00380090"/>
    <w:rsid w:val="00381545"/>
    <w:rsid w:val="003E3CE7"/>
    <w:rsid w:val="0044147D"/>
    <w:rsid w:val="004426A6"/>
    <w:rsid w:val="004443A8"/>
    <w:rsid w:val="004607DC"/>
    <w:rsid w:val="00474D70"/>
    <w:rsid w:val="004B78AD"/>
    <w:rsid w:val="004D53D4"/>
    <w:rsid w:val="0051302B"/>
    <w:rsid w:val="0052090C"/>
    <w:rsid w:val="00524D88"/>
    <w:rsid w:val="00594CCA"/>
    <w:rsid w:val="005A3F94"/>
    <w:rsid w:val="005A4F35"/>
    <w:rsid w:val="00601638"/>
    <w:rsid w:val="006702AF"/>
    <w:rsid w:val="00692B50"/>
    <w:rsid w:val="006E0E30"/>
    <w:rsid w:val="006E2B41"/>
    <w:rsid w:val="0070541E"/>
    <w:rsid w:val="00710C83"/>
    <w:rsid w:val="00710E63"/>
    <w:rsid w:val="00750D75"/>
    <w:rsid w:val="007732CE"/>
    <w:rsid w:val="007765B8"/>
    <w:rsid w:val="007A0B07"/>
    <w:rsid w:val="007C629F"/>
    <w:rsid w:val="007C6442"/>
    <w:rsid w:val="007E1552"/>
    <w:rsid w:val="00811C82"/>
    <w:rsid w:val="00824050"/>
    <w:rsid w:val="008262FE"/>
    <w:rsid w:val="0083270F"/>
    <w:rsid w:val="008329E7"/>
    <w:rsid w:val="00833D25"/>
    <w:rsid w:val="0085622A"/>
    <w:rsid w:val="0087485F"/>
    <w:rsid w:val="00885DE2"/>
    <w:rsid w:val="00891EBA"/>
    <w:rsid w:val="008A3B37"/>
    <w:rsid w:val="008A578F"/>
    <w:rsid w:val="009137B3"/>
    <w:rsid w:val="00921521"/>
    <w:rsid w:val="009237CB"/>
    <w:rsid w:val="00982E53"/>
    <w:rsid w:val="00984F78"/>
    <w:rsid w:val="0099042F"/>
    <w:rsid w:val="009E49BD"/>
    <w:rsid w:val="009F197C"/>
    <w:rsid w:val="00A02537"/>
    <w:rsid w:val="00A07F42"/>
    <w:rsid w:val="00A114C4"/>
    <w:rsid w:val="00A26F46"/>
    <w:rsid w:val="00A63465"/>
    <w:rsid w:val="00A7496F"/>
    <w:rsid w:val="00A90E7F"/>
    <w:rsid w:val="00AC0CE0"/>
    <w:rsid w:val="00AE1FC3"/>
    <w:rsid w:val="00B0309E"/>
    <w:rsid w:val="00B205F4"/>
    <w:rsid w:val="00B34B25"/>
    <w:rsid w:val="00B64145"/>
    <w:rsid w:val="00B700E6"/>
    <w:rsid w:val="00B931AE"/>
    <w:rsid w:val="00B93272"/>
    <w:rsid w:val="00B96064"/>
    <w:rsid w:val="00BC7C34"/>
    <w:rsid w:val="00C47E6B"/>
    <w:rsid w:val="00C57FF9"/>
    <w:rsid w:val="00CA3A38"/>
    <w:rsid w:val="00CB63FC"/>
    <w:rsid w:val="00CD5307"/>
    <w:rsid w:val="00CE23A6"/>
    <w:rsid w:val="00D148E6"/>
    <w:rsid w:val="00D25113"/>
    <w:rsid w:val="00D46B08"/>
    <w:rsid w:val="00DA080B"/>
    <w:rsid w:val="00DA0F81"/>
    <w:rsid w:val="00DC1212"/>
    <w:rsid w:val="00DE1B93"/>
    <w:rsid w:val="00E02926"/>
    <w:rsid w:val="00E101A2"/>
    <w:rsid w:val="00E40222"/>
    <w:rsid w:val="00E47967"/>
    <w:rsid w:val="00E8130A"/>
    <w:rsid w:val="00E85EE0"/>
    <w:rsid w:val="00E93D24"/>
    <w:rsid w:val="00EB7A4A"/>
    <w:rsid w:val="00EE39C7"/>
    <w:rsid w:val="00EE7836"/>
    <w:rsid w:val="00EF6B82"/>
    <w:rsid w:val="00EF7BB9"/>
    <w:rsid w:val="00F0064D"/>
    <w:rsid w:val="00F021C6"/>
    <w:rsid w:val="00F20003"/>
    <w:rsid w:val="00F86EE9"/>
    <w:rsid w:val="00F908EC"/>
    <w:rsid w:val="00F913D9"/>
    <w:rsid w:val="00F95648"/>
    <w:rsid w:val="00FA6F1B"/>
    <w:rsid w:val="00FA73D5"/>
    <w:rsid w:val="00F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53DF"/>
  <w15:docId w15:val="{D810AD5A-A90D-4D25-AE97-C8550B5E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  <w:textAlignment w:val="baseline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Hipercze">
    <w:name w:val="Hyperlink"/>
    <w:basedOn w:val="Domylnaczcionkaakapitu"/>
    <w:qFormat/>
    <w:rPr>
      <w:color w:val="0563C1"/>
      <w:u w:val="single"/>
    </w:rPr>
  </w:style>
  <w:style w:type="character" w:styleId="Nierozpoznanawzmianka">
    <w:name w:val="Unresolved Mention"/>
    <w:basedOn w:val="Domylnaczcionkaakapitu"/>
    <w:qFormat/>
    <w:rPr>
      <w:color w:val="605E5C"/>
      <w:highlight w:val="lightGray"/>
    </w:rPr>
  </w:style>
  <w:style w:type="character" w:customStyle="1" w:styleId="WWCharLFO2LVL1">
    <w:name w:val="WW_CharLFO2LVL1"/>
    <w:qFormat/>
    <w:rPr>
      <w:rFonts w:ascii="Symbol" w:hAnsi="Symbol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List Paragraph,Akapit z listą BS,Kolorowa lista — akcent 11,Akapit z listą2,Preambuła"/>
    <w:basedOn w:val="Normalny"/>
    <w:uiPriority w:val="34"/>
    <w:qFormat/>
    <w:pPr>
      <w:ind w:left="720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">
    <w:name w:val="Standard"/>
    <w:rsid w:val="0044147D"/>
    <w:pPr>
      <w:suppressAutoHyphens/>
      <w:autoSpaceDN w:val="0"/>
      <w:textAlignment w:val="baseline"/>
    </w:pPr>
    <w:rPr>
      <w:rFonts w:eastAsia="Calibri" w:cs="Calibri"/>
      <w:kern w:val="3"/>
      <w:szCs w:val="20"/>
    </w:rPr>
  </w:style>
  <w:style w:type="paragraph" w:customStyle="1" w:styleId="Textbody">
    <w:name w:val="Text body"/>
    <w:basedOn w:val="Standard"/>
    <w:rsid w:val="00297C82"/>
    <w:pPr>
      <w:spacing w:after="1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06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064D"/>
    <w:rPr>
      <w:color w:val="00000A"/>
      <w:szCs w:val="20"/>
      <w:shd w:val="clear" w:color="auto" w:fill="FFFFFF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064D"/>
    <w:rPr>
      <w:vertAlign w:val="superscript"/>
    </w:rPr>
  </w:style>
  <w:style w:type="table" w:styleId="Tabela-Siatka">
    <w:name w:val="Table Grid"/>
    <w:basedOn w:val="Standardowy"/>
    <w:uiPriority w:val="39"/>
    <w:rsid w:val="00FA6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21C6"/>
    <w:pPr>
      <w:autoSpaceDE w:val="0"/>
      <w:autoSpaceDN w:val="0"/>
      <w:adjustRightInd w:val="0"/>
    </w:pPr>
    <w:rPr>
      <w:rFonts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52326-D748-44C4-9004-518D98B8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Abramowska</dc:creator>
  <dc:description/>
  <cp:lastModifiedBy>Katarzyna Ciszewska-Masianis</cp:lastModifiedBy>
  <cp:revision>2</cp:revision>
  <cp:lastPrinted>2021-08-11T07:47:00Z</cp:lastPrinted>
  <dcterms:created xsi:type="dcterms:W3CDTF">2021-09-30T12:31:00Z</dcterms:created>
  <dcterms:modified xsi:type="dcterms:W3CDTF">2021-09-30T12:31:00Z</dcterms:modified>
  <dc:language>pl-PL</dc:language>
</cp:coreProperties>
</file>